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3C" w:rsidRPr="00A071E0" w:rsidRDefault="0009383C" w:rsidP="0009383C">
      <w:pPr>
        <w:spacing w:line="276" w:lineRule="auto"/>
        <w:rPr>
          <w:sz w:val="24"/>
        </w:rPr>
      </w:pPr>
      <w:r w:rsidRPr="00A071E0">
        <w:rPr>
          <w:rFonts w:cs="Arial"/>
          <w:b/>
          <w:sz w:val="32"/>
          <w:szCs w:val="28"/>
        </w:rPr>
        <w:t>Open Data ist mehr als Open Data!</w:t>
      </w:r>
    </w:p>
    <w:p w:rsidR="0009383C" w:rsidRPr="00C409A0" w:rsidRDefault="0009383C" w:rsidP="0009383C">
      <w:pPr>
        <w:jc w:val="both"/>
        <w:rPr>
          <w:rFonts w:cs="Arial"/>
          <w:sz w:val="24"/>
          <w:szCs w:val="24"/>
        </w:rPr>
      </w:pPr>
    </w:p>
    <w:p w:rsidR="0009383C" w:rsidRDefault="0009383C" w:rsidP="0009383C">
      <w:pPr>
        <w:jc w:val="both"/>
        <w:rPr>
          <w:rFonts w:cs="Arial"/>
          <w:sz w:val="24"/>
          <w:szCs w:val="24"/>
        </w:rPr>
      </w:pPr>
      <w:r w:rsidRPr="00C409A0">
        <w:rPr>
          <w:rFonts w:cs="Arial"/>
          <w:sz w:val="24"/>
          <w:szCs w:val="24"/>
        </w:rPr>
        <w:t>Die Aufbereitung und Bereitstellung von Daten aus dem Verwaltung</w:t>
      </w:r>
      <w:r>
        <w:rPr>
          <w:rFonts w:cs="Arial"/>
          <w:sz w:val="24"/>
          <w:szCs w:val="24"/>
        </w:rPr>
        <w:t>svollzug über ihren ursprünglichen</w:t>
      </w:r>
      <w:r w:rsidRPr="00C409A0">
        <w:rPr>
          <w:rFonts w:cs="Arial"/>
          <w:sz w:val="24"/>
          <w:szCs w:val="24"/>
        </w:rPr>
        <w:t xml:space="preserve"> Verwendungszweck hinaus</w:t>
      </w:r>
      <w:r>
        <w:rPr>
          <w:rFonts w:cs="Arial"/>
          <w:sz w:val="24"/>
          <w:szCs w:val="24"/>
        </w:rPr>
        <w:t xml:space="preserve">, z.B. </w:t>
      </w:r>
      <w:r w:rsidRPr="00C409A0">
        <w:rPr>
          <w:rFonts w:cs="Arial"/>
          <w:sz w:val="24"/>
          <w:szCs w:val="24"/>
        </w:rPr>
        <w:t>zur Unterstützung von</w:t>
      </w:r>
      <w:r>
        <w:rPr>
          <w:rFonts w:cs="Arial"/>
          <w:sz w:val="24"/>
          <w:szCs w:val="24"/>
        </w:rPr>
        <w:t xml:space="preserve"> Informations- und</w:t>
      </w:r>
      <w:r w:rsidRPr="00C409A0">
        <w:rPr>
          <w:rFonts w:cs="Arial"/>
          <w:sz w:val="24"/>
          <w:szCs w:val="24"/>
        </w:rPr>
        <w:t xml:space="preserve"> Planungsprozessen</w:t>
      </w:r>
      <w:r>
        <w:rPr>
          <w:rFonts w:cs="Arial"/>
          <w:sz w:val="24"/>
          <w:szCs w:val="24"/>
        </w:rPr>
        <w:t>,</w:t>
      </w:r>
      <w:r w:rsidRPr="00C409A0">
        <w:rPr>
          <w:rFonts w:cs="Arial"/>
          <w:sz w:val="24"/>
          <w:szCs w:val="24"/>
        </w:rPr>
        <w:t xml:space="preserve"> ist nicht neu und im Zusammenhang mit dem Stichwort „Datawarehouse“ ein geübter Vorgang.</w:t>
      </w:r>
      <w:r>
        <w:rPr>
          <w:rFonts w:cs="Arial"/>
          <w:sz w:val="24"/>
          <w:szCs w:val="24"/>
        </w:rPr>
        <w:t xml:space="preserve"> An dieser Stelle sei allerdings aus der zu beobachtenden Erfahrung vermerkt, dass im Zuge der Entwicklung des Zugewinns an Wissen auch ein Wissensverlust einhergeht, der  durch neuere Forschung notwendigerweise wieder aufgeholt werden muss. </w:t>
      </w:r>
      <w:r w:rsidR="005C0287" w:rsidRPr="005C0287">
        <w:rPr>
          <w:rFonts w:cs="Arial"/>
          <w:sz w:val="24"/>
          <w:szCs w:val="24"/>
        </w:rPr>
        <w:t xml:space="preserve"> - (Berühmtes Beispiel ist der Verlust d</w:t>
      </w:r>
      <w:r w:rsidR="005C0287">
        <w:rPr>
          <w:rFonts w:cs="Arial"/>
          <w:sz w:val="24"/>
          <w:szCs w:val="24"/>
        </w:rPr>
        <w:t>er Fähigkeit z</w:t>
      </w:r>
      <w:r w:rsidR="005C0287" w:rsidRPr="005C0287">
        <w:rPr>
          <w:rFonts w:cs="Arial"/>
          <w:sz w:val="24"/>
          <w:szCs w:val="24"/>
        </w:rPr>
        <w:t>um Bau fester Brücken. Seit dem Bau der r</w:t>
      </w:r>
      <w:r w:rsidR="005C0287">
        <w:rPr>
          <w:rFonts w:cs="Arial"/>
          <w:sz w:val="24"/>
          <w:szCs w:val="24"/>
        </w:rPr>
        <w:t>ömischen Konstantinbrü</w:t>
      </w:r>
      <w:r w:rsidR="005C0287" w:rsidRPr="005C0287">
        <w:rPr>
          <w:rFonts w:cs="Arial"/>
          <w:sz w:val="24"/>
          <w:szCs w:val="24"/>
        </w:rPr>
        <w:t xml:space="preserve">cke </w:t>
      </w:r>
      <w:r w:rsidR="005C0287">
        <w:rPr>
          <w:rFonts w:cs="Arial"/>
          <w:sz w:val="24"/>
          <w:szCs w:val="24"/>
        </w:rPr>
        <w:t>ü</w:t>
      </w:r>
      <w:r w:rsidR="005C0287" w:rsidRPr="005C0287">
        <w:rPr>
          <w:rFonts w:cs="Arial"/>
          <w:sz w:val="24"/>
          <w:szCs w:val="24"/>
        </w:rPr>
        <w:t>ber den Rhein bei Köln hat es bis zur Erric</w:t>
      </w:r>
      <w:r w:rsidR="005C0287">
        <w:rPr>
          <w:rFonts w:cs="Arial"/>
          <w:sz w:val="24"/>
          <w:szCs w:val="24"/>
        </w:rPr>
        <w:t>h</w:t>
      </w:r>
      <w:r w:rsidR="005C0287" w:rsidRPr="005C0287">
        <w:rPr>
          <w:rFonts w:cs="Arial"/>
          <w:sz w:val="24"/>
          <w:szCs w:val="24"/>
        </w:rPr>
        <w:t>tun</w:t>
      </w:r>
      <w:r w:rsidR="005C0287">
        <w:rPr>
          <w:rFonts w:cs="Arial"/>
          <w:sz w:val="24"/>
          <w:szCs w:val="24"/>
        </w:rPr>
        <w:t>g</w:t>
      </w:r>
      <w:r w:rsidR="005C0287" w:rsidRPr="005C0287">
        <w:rPr>
          <w:rFonts w:cs="Arial"/>
          <w:sz w:val="24"/>
          <w:szCs w:val="24"/>
        </w:rPr>
        <w:t xml:space="preserve"> </w:t>
      </w:r>
      <w:r w:rsidR="005C0287">
        <w:rPr>
          <w:rFonts w:cs="Arial"/>
          <w:sz w:val="24"/>
          <w:szCs w:val="24"/>
        </w:rPr>
        <w:t>d</w:t>
      </w:r>
      <w:r w:rsidR="005C0287" w:rsidRPr="005C0287">
        <w:rPr>
          <w:rFonts w:cs="Arial"/>
          <w:sz w:val="24"/>
          <w:szCs w:val="24"/>
        </w:rPr>
        <w:t>er nächsten</w:t>
      </w:r>
      <w:bookmarkStart w:id="0" w:name="_GoBack"/>
      <w:bookmarkEnd w:id="0"/>
      <w:r w:rsidR="005C0287" w:rsidRPr="005C0287">
        <w:rPr>
          <w:rFonts w:cs="Arial"/>
          <w:sz w:val="24"/>
          <w:szCs w:val="24"/>
        </w:rPr>
        <w:t xml:space="preserve"> festen Brücke </w:t>
      </w:r>
      <w:r w:rsidR="005C0287">
        <w:rPr>
          <w:rFonts w:cs="Arial"/>
          <w:sz w:val="24"/>
          <w:szCs w:val="24"/>
        </w:rPr>
        <w:t>J</w:t>
      </w:r>
      <w:r w:rsidR="005C0287" w:rsidRPr="005C0287">
        <w:rPr>
          <w:rFonts w:cs="Arial"/>
          <w:sz w:val="24"/>
          <w:szCs w:val="24"/>
        </w:rPr>
        <w:t xml:space="preserve">ahrhunderte </w:t>
      </w:r>
      <w:r w:rsidR="005C0287">
        <w:rPr>
          <w:rFonts w:cs="Arial"/>
          <w:sz w:val="24"/>
          <w:szCs w:val="24"/>
        </w:rPr>
        <w:t>g</w:t>
      </w:r>
      <w:r w:rsidR="005C0287" w:rsidRPr="005C0287">
        <w:rPr>
          <w:rFonts w:cs="Arial"/>
          <w:sz w:val="24"/>
          <w:szCs w:val="24"/>
        </w:rPr>
        <w:t xml:space="preserve">ebraucht. Und das auch nur, weil die Erbauer keine Dokumentation hinterlassen haben.) - </w:t>
      </w:r>
      <w:r>
        <w:rPr>
          <w:rFonts w:cs="Arial"/>
          <w:sz w:val="24"/>
          <w:szCs w:val="24"/>
        </w:rPr>
        <w:t>Davon  bleibt auch OPEN DATA nicht verschont. Während die Bereitstellung  der Daten aus dem DWHS - von bevorrateten Informationspaketen abgesehen - überwiegend auf Antrag des Interessenten und unter der Regie der Verwaltung erfolgte, ist mit dem Begriff Open Data ein Paradigmenwechsel von besonderer Qualität verbunden.</w:t>
      </w:r>
    </w:p>
    <w:p w:rsidR="0009383C" w:rsidRDefault="0009383C" w:rsidP="0009383C">
      <w:pPr>
        <w:jc w:val="both"/>
        <w:rPr>
          <w:rFonts w:cs="Arial"/>
          <w:sz w:val="24"/>
          <w:szCs w:val="24"/>
        </w:rPr>
      </w:pPr>
    </w:p>
    <w:p w:rsidR="0009383C" w:rsidRPr="00C409A0" w:rsidRDefault="0009383C" w:rsidP="0009383C">
      <w:pPr>
        <w:jc w:val="both"/>
        <w:rPr>
          <w:rFonts w:cs="Arial"/>
          <w:sz w:val="24"/>
          <w:szCs w:val="24"/>
        </w:rPr>
      </w:pPr>
      <w:r>
        <w:rPr>
          <w:rFonts w:cs="Arial"/>
          <w:sz w:val="24"/>
          <w:szCs w:val="24"/>
        </w:rPr>
        <w:t>Vor dem Hintergrund einer sich in Richtung Bürgerbeteiligung öffnenden Verwaltung ist mit Open Data die Bereitstellung von Informationen zur freien und selbständigen Verwertung durch Dritte gemeint und gewollt. Die aktuelle Diskussion behandelt im Schwergewicht den Vorgang der Bereitstellung. Man ist bemüht, möglichst viele Daten sehr schnell und nach vermuteten Bedarfen bereitzustellen. Das kann bei entsprech</w:t>
      </w:r>
      <w:r w:rsidR="005C0287">
        <w:rPr>
          <w:rFonts w:cs="Arial"/>
          <w:sz w:val="24"/>
          <w:szCs w:val="24"/>
        </w:rPr>
        <w:t>end</w:t>
      </w:r>
      <w:r>
        <w:rPr>
          <w:rFonts w:cs="Arial"/>
          <w:sz w:val="24"/>
          <w:szCs w:val="24"/>
        </w:rPr>
        <w:t xml:space="preserve"> strategischer Planung zur gewünschten Entbürokratisierung und Reduzierung von Kosten führen. Die neue Philosophie von Verwaltung oder wie man sagt – Verwaltung neu denken – erfordert vorab entsprechende Anstrengungen und Investitionen.</w:t>
      </w:r>
    </w:p>
    <w:p w:rsidR="0009383C" w:rsidRPr="00C409A0" w:rsidRDefault="0009383C" w:rsidP="0009383C">
      <w:pPr>
        <w:jc w:val="both"/>
        <w:rPr>
          <w:rFonts w:cs="Arial"/>
          <w:sz w:val="24"/>
          <w:szCs w:val="24"/>
        </w:rPr>
      </w:pPr>
    </w:p>
    <w:p w:rsidR="0009383C" w:rsidRDefault="0009383C" w:rsidP="0009383C">
      <w:pPr>
        <w:jc w:val="both"/>
        <w:rPr>
          <w:rFonts w:cs="Arial"/>
          <w:sz w:val="24"/>
          <w:szCs w:val="24"/>
        </w:rPr>
      </w:pPr>
      <w:r>
        <w:rPr>
          <w:rFonts w:cs="Arial"/>
          <w:sz w:val="24"/>
          <w:szCs w:val="24"/>
        </w:rPr>
        <w:t>OPEN DATA bewirkt aber nicht nur den Prozess der Bereitstellung von Daten an sich sondern löst mit der Bereitstellung  einen untrennbar verbundenen   tiefgreifenden Veränderungsprozess aus, ein  Paradigmenwechsel in der Kommunikation mit dem privaten Sektor und den Verwaltungsebenen.</w:t>
      </w:r>
    </w:p>
    <w:p w:rsidR="0009383C" w:rsidRDefault="0009383C" w:rsidP="0009383C">
      <w:pPr>
        <w:jc w:val="both"/>
        <w:rPr>
          <w:rFonts w:cs="Arial"/>
          <w:i/>
          <w:sz w:val="24"/>
          <w:szCs w:val="24"/>
        </w:rPr>
      </w:pPr>
    </w:p>
    <w:p w:rsidR="0009383C" w:rsidRPr="000F4B14" w:rsidRDefault="0009383C" w:rsidP="0009383C">
      <w:pPr>
        <w:jc w:val="both"/>
        <w:rPr>
          <w:rFonts w:cs="Arial"/>
          <w:i/>
          <w:sz w:val="24"/>
          <w:szCs w:val="24"/>
        </w:rPr>
      </w:pPr>
      <w:r w:rsidRPr="000F4B14">
        <w:rPr>
          <w:rFonts w:cs="Arial"/>
          <w:i/>
          <w:sz w:val="24"/>
          <w:szCs w:val="24"/>
        </w:rPr>
        <w:t>Die sich öffnende Verwaltung</w:t>
      </w:r>
    </w:p>
    <w:p w:rsidR="0009383C" w:rsidRDefault="0009383C" w:rsidP="0009383C">
      <w:pPr>
        <w:jc w:val="both"/>
        <w:rPr>
          <w:rFonts w:cs="Arial"/>
          <w:sz w:val="24"/>
          <w:szCs w:val="24"/>
        </w:rPr>
      </w:pPr>
    </w:p>
    <w:p w:rsidR="0009383C" w:rsidRDefault="0009383C" w:rsidP="0009383C">
      <w:pPr>
        <w:jc w:val="both"/>
        <w:rPr>
          <w:rFonts w:cs="Arial"/>
          <w:sz w:val="24"/>
          <w:szCs w:val="24"/>
        </w:rPr>
      </w:pPr>
      <w:r w:rsidRPr="00C409A0">
        <w:rPr>
          <w:rFonts w:cs="Arial"/>
          <w:sz w:val="24"/>
          <w:szCs w:val="24"/>
        </w:rPr>
        <w:t>Open Data führt neben der Bereitstellung von Daten im   Kern zur</w:t>
      </w:r>
      <w:r>
        <w:rPr>
          <w:rFonts w:cs="Arial"/>
          <w:sz w:val="24"/>
          <w:szCs w:val="24"/>
        </w:rPr>
        <w:t xml:space="preserve"> </w:t>
      </w:r>
      <w:proofErr w:type="spellStart"/>
      <w:r w:rsidRPr="00C409A0">
        <w:rPr>
          <w:rFonts w:cs="Arial"/>
          <w:sz w:val="24"/>
          <w:szCs w:val="24"/>
        </w:rPr>
        <w:t>Algorithmisierung</w:t>
      </w:r>
      <w:proofErr w:type="spellEnd"/>
      <w:r w:rsidRPr="00C409A0">
        <w:rPr>
          <w:rFonts w:cs="Arial"/>
          <w:sz w:val="24"/>
          <w:szCs w:val="24"/>
        </w:rPr>
        <w:t xml:space="preserve"> von </w:t>
      </w:r>
      <w:r>
        <w:rPr>
          <w:rFonts w:cs="Arial"/>
          <w:sz w:val="24"/>
          <w:szCs w:val="24"/>
        </w:rPr>
        <w:t xml:space="preserve">Ergebnissen aus </w:t>
      </w:r>
      <w:r w:rsidRPr="00C409A0">
        <w:rPr>
          <w:rFonts w:cs="Arial"/>
          <w:sz w:val="24"/>
          <w:szCs w:val="24"/>
        </w:rPr>
        <w:t>Geschäftsprozessen und politischen</w:t>
      </w:r>
      <w:r>
        <w:rPr>
          <w:rFonts w:cs="Arial"/>
          <w:sz w:val="24"/>
          <w:szCs w:val="24"/>
        </w:rPr>
        <w:t xml:space="preserve"> </w:t>
      </w:r>
      <w:r w:rsidRPr="00C409A0">
        <w:rPr>
          <w:rFonts w:cs="Arial"/>
          <w:sz w:val="24"/>
          <w:szCs w:val="24"/>
        </w:rPr>
        <w:t>Entscheidungsprozessen</w:t>
      </w:r>
      <w:r>
        <w:rPr>
          <w:rFonts w:cs="Arial"/>
          <w:sz w:val="24"/>
          <w:szCs w:val="24"/>
        </w:rPr>
        <w:t>.</w:t>
      </w:r>
      <w:r w:rsidRPr="00C409A0">
        <w:rPr>
          <w:rFonts w:cs="Arial"/>
          <w:sz w:val="24"/>
          <w:szCs w:val="24"/>
        </w:rPr>
        <w:t xml:space="preserve"> </w:t>
      </w:r>
      <w:r>
        <w:rPr>
          <w:rFonts w:cs="Arial"/>
          <w:sz w:val="24"/>
          <w:szCs w:val="24"/>
        </w:rPr>
        <w:t xml:space="preserve">Diese Ergebnisse haben für sich die Vermutung des in der Sache Richtigen. Sie können </w:t>
      </w:r>
      <w:r w:rsidRPr="00C409A0">
        <w:rPr>
          <w:rFonts w:cs="Arial"/>
          <w:sz w:val="24"/>
          <w:szCs w:val="24"/>
        </w:rPr>
        <w:t xml:space="preserve"> damit zur Einschränkung der</w:t>
      </w:r>
      <w:r>
        <w:rPr>
          <w:rFonts w:cs="Arial"/>
          <w:sz w:val="24"/>
          <w:szCs w:val="24"/>
        </w:rPr>
        <w:t xml:space="preserve"> </w:t>
      </w:r>
      <w:r w:rsidRPr="00C409A0">
        <w:rPr>
          <w:rFonts w:cs="Arial"/>
          <w:sz w:val="24"/>
          <w:szCs w:val="24"/>
        </w:rPr>
        <w:t>Selbstbestimmung der handelnden Personen</w:t>
      </w:r>
      <w:r>
        <w:rPr>
          <w:rFonts w:cs="Arial"/>
          <w:sz w:val="24"/>
          <w:szCs w:val="24"/>
        </w:rPr>
        <w:t xml:space="preserve"> führen</w:t>
      </w:r>
      <w:r w:rsidRPr="00C409A0">
        <w:rPr>
          <w:rFonts w:cs="Arial"/>
          <w:sz w:val="24"/>
          <w:szCs w:val="24"/>
        </w:rPr>
        <w:t>; positiv formuliert zur</w:t>
      </w:r>
      <w:r>
        <w:rPr>
          <w:rFonts w:cs="Arial"/>
          <w:sz w:val="24"/>
          <w:szCs w:val="24"/>
        </w:rPr>
        <w:t xml:space="preserve"> </w:t>
      </w:r>
      <w:r w:rsidRPr="00C409A0">
        <w:rPr>
          <w:rFonts w:cs="Arial"/>
          <w:sz w:val="24"/>
          <w:szCs w:val="24"/>
        </w:rPr>
        <w:t>“Objektivierung”. Das ist ein bisher öffentlich noch wenig diskutierter</w:t>
      </w:r>
      <w:r>
        <w:rPr>
          <w:rFonts w:cs="Arial"/>
          <w:sz w:val="24"/>
          <w:szCs w:val="24"/>
        </w:rPr>
        <w:t xml:space="preserve"> </w:t>
      </w:r>
      <w:r w:rsidRPr="00C409A0">
        <w:rPr>
          <w:rFonts w:cs="Arial"/>
          <w:sz w:val="24"/>
          <w:szCs w:val="24"/>
        </w:rPr>
        <w:t xml:space="preserve">Vorgang aber </w:t>
      </w:r>
      <w:r>
        <w:rPr>
          <w:rFonts w:cs="Arial"/>
          <w:sz w:val="24"/>
          <w:szCs w:val="24"/>
        </w:rPr>
        <w:t xml:space="preserve">ein </w:t>
      </w:r>
      <w:r w:rsidRPr="00C409A0">
        <w:rPr>
          <w:rFonts w:cs="Arial"/>
          <w:sz w:val="24"/>
          <w:szCs w:val="24"/>
        </w:rPr>
        <w:t>erheblicher Paradigmenwechsel  auf dem Weg zu</w:t>
      </w:r>
      <w:r>
        <w:rPr>
          <w:rFonts w:cs="Arial"/>
          <w:sz w:val="24"/>
          <w:szCs w:val="24"/>
        </w:rPr>
        <w:t xml:space="preserve"> </w:t>
      </w:r>
      <w:r w:rsidRPr="00C409A0">
        <w:rPr>
          <w:rFonts w:cs="Arial"/>
          <w:sz w:val="24"/>
          <w:szCs w:val="24"/>
        </w:rPr>
        <w:t>“Computerentscheidungen” und damit zur Frage, wer hat Recht und was</w:t>
      </w:r>
      <w:r>
        <w:rPr>
          <w:rFonts w:cs="Arial"/>
          <w:sz w:val="24"/>
          <w:szCs w:val="24"/>
        </w:rPr>
        <w:t xml:space="preserve"> </w:t>
      </w:r>
      <w:r w:rsidRPr="00C409A0">
        <w:rPr>
          <w:rFonts w:cs="Arial"/>
          <w:sz w:val="24"/>
          <w:szCs w:val="24"/>
        </w:rPr>
        <w:t>ist richtig.</w:t>
      </w:r>
      <w:r>
        <w:rPr>
          <w:rFonts w:cs="Arial"/>
          <w:sz w:val="24"/>
          <w:szCs w:val="24"/>
        </w:rPr>
        <w:t xml:space="preserve"> Da es aber in der Regel nicht nur eine richtige Entscheidung gibt sondern im Zweifel auch diametral unterschiedliche Lösungen, kommt es auf die Abwägungsprozesse an, die auf dem Hintergrund der Computervorgabe anstrengender dafür aber qualitätssteigernd sein dürften.</w:t>
      </w:r>
      <w:r w:rsidRPr="00C409A0">
        <w:rPr>
          <w:rFonts w:cs="Arial"/>
          <w:sz w:val="24"/>
          <w:szCs w:val="24"/>
        </w:rPr>
        <w:t xml:space="preserve"> </w:t>
      </w:r>
    </w:p>
    <w:p w:rsidR="0009383C" w:rsidRDefault="0009383C" w:rsidP="0009383C">
      <w:pPr>
        <w:jc w:val="both"/>
        <w:rPr>
          <w:rFonts w:cs="Arial"/>
          <w:sz w:val="24"/>
          <w:szCs w:val="24"/>
        </w:rPr>
      </w:pPr>
      <w:r w:rsidRPr="00C409A0">
        <w:rPr>
          <w:rFonts w:cs="Arial"/>
          <w:sz w:val="24"/>
          <w:szCs w:val="24"/>
        </w:rPr>
        <w:lastRenderedPageBreak/>
        <w:t>Unter kommunalpolitischer Sicht handelt es sich</w:t>
      </w:r>
      <w:r>
        <w:rPr>
          <w:rFonts w:cs="Arial"/>
          <w:sz w:val="24"/>
          <w:szCs w:val="24"/>
        </w:rPr>
        <w:t xml:space="preserve"> im Zweifel</w:t>
      </w:r>
      <w:r w:rsidRPr="00C409A0">
        <w:rPr>
          <w:rFonts w:cs="Arial"/>
          <w:sz w:val="24"/>
          <w:szCs w:val="24"/>
        </w:rPr>
        <w:t xml:space="preserve"> um einen</w:t>
      </w:r>
      <w:r>
        <w:rPr>
          <w:rFonts w:cs="Arial"/>
          <w:sz w:val="24"/>
          <w:szCs w:val="24"/>
        </w:rPr>
        <w:t xml:space="preserve"> </w:t>
      </w:r>
      <w:r w:rsidRPr="00C409A0">
        <w:rPr>
          <w:rFonts w:cs="Arial"/>
          <w:sz w:val="24"/>
          <w:szCs w:val="24"/>
        </w:rPr>
        <w:t>schleichenden Bedeutungsverlust</w:t>
      </w:r>
      <w:r>
        <w:rPr>
          <w:rFonts w:cs="Arial"/>
          <w:sz w:val="24"/>
          <w:szCs w:val="24"/>
        </w:rPr>
        <w:t xml:space="preserve"> der Politik, weil sich Entscheidungen unter dem Außendruck der Akteure u.U. nur noch auf die Auswahl von Alternativen beziehen. Das bedeutet, da mathematisch basierte Ergebnisse nicht automatisch auch politisch richtig sind, </w:t>
      </w:r>
      <w:r w:rsidR="005C0287">
        <w:rPr>
          <w:rFonts w:cs="Arial"/>
          <w:sz w:val="24"/>
          <w:szCs w:val="24"/>
        </w:rPr>
        <w:t>neue Entscheidungsstrategien in</w:t>
      </w:r>
      <w:r>
        <w:rPr>
          <w:rFonts w:cs="Arial"/>
          <w:sz w:val="24"/>
          <w:szCs w:val="24"/>
        </w:rPr>
        <w:t xml:space="preserve"> der Politik entwickelt werden müssen. Die Konkurrenz findet nicht </w:t>
      </w:r>
      <w:r w:rsidR="005C0287">
        <w:rPr>
          <w:rFonts w:cs="Arial"/>
          <w:sz w:val="24"/>
          <w:szCs w:val="24"/>
        </w:rPr>
        <w:t xml:space="preserve">nur </w:t>
      </w:r>
      <w:r>
        <w:rPr>
          <w:rFonts w:cs="Arial"/>
          <w:sz w:val="24"/>
          <w:szCs w:val="24"/>
        </w:rPr>
        <w:t>innerhalb der politischen Entscheidungsgremien  statt</w:t>
      </w:r>
      <w:r w:rsidR="005C0287">
        <w:rPr>
          <w:rFonts w:cs="Arial"/>
          <w:sz w:val="24"/>
          <w:szCs w:val="24"/>
        </w:rPr>
        <w:t>,</w:t>
      </w:r>
      <w:r>
        <w:rPr>
          <w:rFonts w:cs="Arial"/>
          <w:sz w:val="24"/>
          <w:szCs w:val="24"/>
        </w:rPr>
        <w:t xml:space="preserve"> sondern in der Auseinandersetzung mit der Außenwelt. Aus organisations</w:t>
      </w:r>
      <w:r w:rsidRPr="00C409A0">
        <w:rPr>
          <w:rFonts w:cs="Arial"/>
          <w:sz w:val="24"/>
          <w:szCs w:val="24"/>
        </w:rPr>
        <w:t xml:space="preserve">politischer Sicht </w:t>
      </w:r>
      <w:r>
        <w:rPr>
          <w:rFonts w:cs="Arial"/>
          <w:sz w:val="24"/>
          <w:szCs w:val="24"/>
        </w:rPr>
        <w:t xml:space="preserve">können sich </w:t>
      </w:r>
      <w:r w:rsidRPr="00C409A0">
        <w:rPr>
          <w:rFonts w:cs="Arial"/>
          <w:sz w:val="24"/>
          <w:szCs w:val="24"/>
        </w:rPr>
        <w:t>wegen N</w:t>
      </w:r>
      <w:r>
        <w:rPr>
          <w:rFonts w:cs="Arial"/>
          <w:sz w:val="24"/>
          <w:szCs w:val="24"/>
        </w:rPr>
        <w:t xml:space="preserve">ormungs- und Kooperationszwängen </w:t>
      </w:r>
      <w:r w:rsidR="005C0287">
        <w:rPr>
          <w:rFonts w:cs="Arial"/>
          <w:sz w:val="24"/>
          <w:szCs w:val="24"/>
        </w:rPr>
        <w:t xml:space="preserve">zusätzlich </w:t>
      </w:r>
      <w:r w:rsidRPr="00C409A0">
        <w:rPr>
          <w:rFonts w:cs="Arial"/>
          <w:sz w:val="24"/>
          <w:szCs w:val="24"/>
        </w:rPr>
        <w:t>Einschrän</w:t>
      </w:r>
      <w:r>
        <w:rPr>
          <w:rFonts w:cs="Arial"/>
          <w:sz w:val="24"/>
          <w:szCs w:val="24"/>
        </w:rPr>
        <w:t>kungen der verfassungsorientierten Organisationshoheit ergeben.</w:t>
      </w:r>
    </w:p>
    <w:p w:rsidR="0009383C" w:rsidRDefault="0009383C" w:rsidP="0009383C">
      <w:pPr>
        <w:jc w:val="both"/>
        <w:rPr>
          <w:rFonts w:cs="Arial"/>
          <w:sz w:val="24"/>
          <w:szCs w:val="24"/>
        </w:rPr>
      </w:pPr>
    </w:p>
    <w:p w:rsidR="0009383C" w:rsidRDefault="0009383C" w:rsidP="0009383C">
      <w:pPr>
        <w:jc w:val="both"/>
        <w:rPr>
          <w:rFonts w:cs="Arial"/>
          <w:sz w:val="24"/>
          <w:szCs w:val="24"/>
        </w:rPr>
      </w:pPr>
      <w:r>
        <w:rPr>
          <w:rFonts w:cs="Arial"/>
          <w:sz w:val="24"/>
          <w:szCs w:val="24"/>
        </w:rPr>
        <w:t>Um mit Blick auf eine öffentliche Diskussion konkreter zu werden, bedeutet die Förderung von Open Data die Beschreibung der betroffenen oder erwünschten Geschäftsfelder, aus denen Daten bereitgestellt werden sollen. Ideal wäre die Kenntnis des Interesses aus der Sicht zukünftiger Bedarfsträger. Die Daten lassen sich einteilen nach Daten:</w:t>
      </w:r>
    </w:p>
    <w:p w:rsidR="0009383C" w:rsidRDefault="0009383C" w:rsidP="0009383C">
      <w:pPr>
        <w:jc w:val="both"/>
        <w:rPr>
          <w:rFonts w:cs="Arial"/>
          <w:sz w:val="24"/>
          <w:szCs w:val="24"/>
        </w:rPr>
      </w:pPr>
    </w:p>
    <w:p w:rsidR="0009383C" w:rsidRDefault="0009383C" w:rsidP="0009383C">
      <w:pPr>
        <w:pStyle w:val="Listenabsatz"/>
        <w:numPr>
          <w:ilvl w:val="0"/>
          <w:numId w:val="50"/>
        </w:numPr>
        <w:spacing w:after="160" w:line="259" w:lineRule="auto"/>
        <w:contextualSpacing/>
        <w:jc w:val="both"/>
        <w:rPr>
          <w:rFonts w:cs="Arial"/>
          <w:sz w:val="24"/>
          <w:szCs w:val="24"/>
        </w:rPr>
      </w:pPr>
      <w:r>
        <w:rPr>
          <w:rFonts w:cs="Arial"/>
          <w:sz w:val="24"/>
          <w:szCs w:val="24"/>
        </w:rPr>
        <w:t>die bereitgestellt werden müssen,</w:t>
      </w:r>
    </w:p>
    <w:p w:rsidR="0009383C" w:rsidRPr="00ED1E00" w:rsidRDefault="0009383C" w:rsidP="0009383C">
      <w:pPr>
        <w:pStyle w:val="Listenabsatz"/>
        <w:jc w:val="both"/>
        <w:rPr>
          <w:rFonts w:cs="Arial"/>
          <w:sz w:val="24"/>
          <w:szCs w:val="24"/>
        </w:rPr>
      </w:pPr>
    </w:p>
    <w:p w:rsidR="0009383C" w:rsidRDefault="0009383C" w:rsidP="0009383C">
      <w:pPr>
        <w:pStyle w:val="Listenabsatz"/>
        <w:numPr>
          <w:ilvl w:val="0"/>
          <w:numId w:val="50"/>
        </w:numPr>
        <w:spacing w:after="160" w:line="259" w:lineRule="auto"/>
        <w:contextualSpacing/>
        <w:jc w:val="both"/>
        <w:rPr>
          <w:rFonts w:cs="Arial"/>
          <w:sz w:val="24"/>
          <w:szCs w:val="24"/>
        </w:rPr>
      </w:pPr>
      <w:r w:rsidRPr="00ED1E00">
        <w:rPr>
          <w:rFonts w:cs="Arial"/>
          <w:sz w:val="24"/>
          <w:szCs w:val="24"/>
        </w:rPr>
        <w:t>die problemfrei und unkommentiert, da selbsterklärend, bereitgestellt werden</w:t>
      </w:r>
      <w:r>
        <w:rPr>
          <w:rFonts w:cs="Arial"/>
          <w:sz w:val="24"/>
          <w:szCs w:val="24"/>
        </w:rPr>
        <w:t>,</w:t>
      </w:r>
      <w:r w:rsidRPr="00ED1E00">
        <w:rPr>
          <w:rFonts w:cs="Arial"/>
          <w:sz w:val="24"/>
          <w:szCs w:val="24"/>
        </w:rPr>
        <w:t xml:space="preserve">   können</w:t>
      </w:r>
      <w:r>
        <w:rPr>
          <w:rFonts w:cs="Arial"/>
          <w:sz w:val="24"/>
          <w:szCs w:val="24"/>
        </w:rPr>
        <w:t>,</w:t>
      </w:r>
    </w:p>
    <w:p w:rsidR="0009383C" w:rsidRPr="00ED1E00" w:rsidRDefault="0009383C" w:rsidP="0009383C">
      <w:pPr>
        <w:pStyle w:val="Listenabsatz"/>
        <w:rPr>
          <w:rFonts w:cs="Arial"/>
          <w:sz w:val="24"/>
          <w:szCs w:val="24"/>
        </w:rPr>
      </w:pPr>
    </w:p>
    <w:p w:rsidR="0009383C" w:rsidRDefault="0009383C" w:rsidP="0009383C">
      <w:pPr>
        <w:pStyle w:val="Listenabsatz"/>
        <w:numPr>
          <w:ilvl w:val="0"/>
          <w:numId w:val="50"/>
        </w:numPr>
        <w:spacing w:after="160" w:line="259" w:lineRule="auto"/>
        <w:contextualSpacing/>
        <w:jc w:val="both"/>
        <w:rPr>
          <w:rFonts w:cs="Arial"/>
          <w:sz w:val="24"/>
          <w:szCs w:val="24"/>
        </w:rPr>
      </w:pPr>
      <w:r>
        <w:rPr>
          <w:rFonts w:cs="Arial"/>
          <w:sz w:val="24"/>
          <w:szCs w:val="24"/>
        </w:rPr>
        <w:t>die bei</w:t>
      </w:r>
      <w:r w:rsidRPr="00ED1E00">
        <w:rPr>
          <w:rFonts w:cs="Arial"/>
          <w:sz w:val="24"/>
          <w:szCs w:val="24"/>
        </w:rPr>
        <w:t xml:space="preserve"> ihrer Bereitstellung </w:t>
      </w:r>
      <w:r>
        <w:rPr>
          <w:rFonts w:cs="Arial"/>
          <w:sz w:val="24"/>
          <w:szCs w:val="24"/>
        </w:rPr>
        <w:t xml:space="preserve">mit Blick auf Verwertbarkeit und Verwertungsziel </w:t>
      </w:r>
      <w:r w:rsidRPr="00ED1E00">
        <w:rPr>
          <w:rFonts w:cs="Arial"/>
          <w:sz w:val="24"/>
          <w:szCs w:val="24"/>
        </w:rPr>
        <w:t>kommentiert werden müssen,</w:t>
      </w:r>
      <w:r>
        <w:rPr>
          <w:rFonts w:cs="Arial"/>
          <w:sz w:val="24"/>
          <w:szCs w:val="24"/>
        </w:rPr>
        <w:t xml:space="preserve"> </w:t>
      </w:r>
    </w:p>
    <w:p w:rsidR="0009383C" w:rsidRPr="00ED1E00" w:rsidRDefault="0009383C" w:rsidP="0009383C">
      <w:pPr>
        <w:pStyle w:val="Listenabsatz"/>
        <w:rPr>
          <w:rFonts w:cs="Arial"/>
          <w:sz w:val="24"/>
          <w:szCs w:val="24"/>
        </w:rPr>
      </w:pPr>
    </w:p>
    <w:p w:rsidR="0009383C" w:rsidRDefault="0009383C" w:rsidP="0009383C">
      <w:pPr>
        <w:pStyle w:val="Listenabsatz"/>
        <w:numPr>
          <w:ilvl w:val="0"/>
          <w:numId w:val="50"/>
        </w:numPr>
        <w:spacing w:after="160" w:line="259" w:lineRule="auto"/>
        <w:contextualSpacing/>
        <w:jc w:val="both"/>
        <w:rPr>
          <w:rFonts w:cs="Arial"/>
          <w:sz w:val="24"/>
          <w:szCs w:val="24"/>
        </w:rPr>
      </w:pPr>
      <w:r>
        <w:rPr>
          <w:rFonts w:cs="Arial"/>
          <w:sz w:val="24"/>
          <w:szCs w:val="24"/>
        </w:rPr>
        <w:t xml:space="preserve">die sich aus rechtlichen oder übergeordneten Interessen einer Veröffentlichung entziehen. </w:t>
      </w:r>
      <w:r w:rsidRPr="00ED1E00">
        <w:rPr>
          <w:rFonts w:cs="Arial"/>
          <w:sz w:val="24"/>
          <w:szCs w:val="24"/>
        </w:rPr>
        <w:t xml:space="preserve"> </w:t>
      </w:r>
    </w:p>
    <w:p w:rsidR="0009383C" w:rsidRDefault="0009383C" w:rsidP="0009383C">
      <w:pPr>
        <w:jc w:val="both"/>
        <w:rPr>
          <w:rFonts w:cs="Arial"/>
          <w:sz w:val="24"/>
          <w:szCs w:val="24"/>
        </w:rPr>
      </w:pPr>
    </w:p>
    <w:p w:rsidR="0009383C" w:rsidRDefault="0009383C" w:rsidP="0009383C">
      <w:pPr>
        <w:jc w:val="both"/>
        <w:rPr>
          <w:rFonts w:cs="Arial"/>
          <w:sz w:val="24"/>
          <w:szCs w:val="24"/>
        </w:rPr>
      </w:pPr>
      <w:r>
        <w:rPr>
          <w:rFonts w:cs="Arial"/>
          <w:sz w:val="24"/>
          <w:szCs w:val="24"/>
        </w:rPr>
        <w:t>Im Sinne einer schnellen  und effektiven  Entwicklung von Open Data wären entsprechende Kooperationen unter den genannten Aspekten hilfreich. Eine heterogene  Landschaft der Beliebigkeit sollte vermieden werden. Die Vielfalt von Thurn und Taxis bringt uns nicht weiter.</w:t>
      </w:r>
    </w:p>
    <w:p w:rsidR="0009383C" w:rsidRDefault="0009383C" w:rsidP="0009383C">
      <w:pPr>
        <w:jc w:val="both"/>
        <w:rPr>
          <w:rFonts w:cs="Arial"/>
          <w:sz w:val="24"/>
          <w:szCs w:val="24"/>
        </w:rPr>
      </w:pPr>
    </w:p>
    <w:p w:rsidR="0009383C" w:rsidRDefault="0009383C" w:rsidP="0009383C">
      <w:pPr>
        <w:jc w:val="both"/>
        <w:rPr>
          <w:rFonts w:cs="Arial"/>
          <w:sz w:val="24"/>
          <w:szCs w:val="24"/>
        </w:rPr>
      </w:pPr>
    </w:p>
    <w:p w:rsidR="0009383C" w:rsidRPr="00550A27" w:rsidRDefault="0009383C" w:rsidP="0009383C">
      <w:pPr>
        <w:jc w:val="both"/>
        <w:rPr>
          <w:rFonts w:cs="Arial"/>
          <w:sz w:val="20"/>
        </w:rPr>
      </w:pPr>
      <w:r w:rsidRPr="00550A27">
        <w:rPr>
          <w:rFonts w:cs="Arial"/>
          <w:sz w:val="20"/>
        </w:rPr>
        <w:t>Willy Landsberg</w:t>
      </w:r>
    </w:p>
    <w:p w:rsidR="0009383C" w:rsidRPr="00550A27" w:rsidRDefault="0009383C" w:rsidP="0009383C">
      <w:pPr>
        <w:jc w:val="both"/>
        <w:rPr>
          <w:rFonts w:cs="Arial"/>
          <w:sz w:val="20"/>
        </w:rPr>
      </w:pPr>
      <w:r w:rsidRPr="00550A27">
        <w:rPr>
          <w:rFonts w:cs="Arial"/>
          <w:sz w:val="20"/>
        </w:rPr>
        <w:t>ESG e.V. (Vorsitzender)</w:t>
      </w:r>
    </w:p>
    <w:p w:rsidR="0009383C" w:rsidRPr="006013EF" w:rsidRDefault="0009383C" w:rsidP="0009383C">
      <w:pPr>
        <w:rPr>
          <w:sz w:val="20"/>
        </w:rPr>
      </w:pPr>
      <w:r w:rsidRPr="006013EF">
        <w:rPr>
          <w:sz w:val="20"/>
        </w:rPr>
        <w:t>www.egov-europe.de</w:t>
      </w:r>
    </w:p>
    <w:p w:rsidR="00A765A7" w:rsidRDefault="00A765A7">
      <w:pPr>
        <w:rPr>
          <w:b/>
          <w:sz w:val="28"/>
          <w:szCs w:val="28"/>
        </w:rPr>
      </w:pPr>
    </w:p>
    <w:sectPr w:rsidR="00A765A7" w:rsidSect="000C6A3A">
      <w:footerReference w:type="default" r:id="rId9"/>
      <w:headerReference w:type="first" r:id="rId10"/>
      <w:footerReference w:type="first" r:id="rId11"/>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5BE" w:rsidRDefault="008B55BE">
      <w:r>
        <w:separator/>
      </w:r>
    </w:p>
  </w:endnote>
  <w:endnote w:type="continuationSeparator" w:id="0">
    <w:p w:rsidR="008B55BE" w:rsidRDefault="008B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3A" w:rsidRDefault="0009383C" w:rsidP="0009383C">
    <w:pPr>
      <w:pStyle w:val="Fuzeile"/>
      <w:jc w:val="both"/>
    </w:pPr>
    <w:r>
      <w:tab/>
    </w:r>
    <w:r>
      <w:tab/>
    </w:r>
    <w:r w:rsidR="000C6A3A">
      <w:t xml:space="preserve">Seite </w:t>
    </w:r>
    <w:r w:rsidR="000C6A3A">
      <w:fldChar w:fldCharType="begin"/>
    </w:r>
    <w:r w:rsidR="000C6A3A">
      <w:instrText xml:space="preserve"> PAGE </w:instrText>
    </w:r>
    <w:r w:rsidR="000C6A3A">
      <w:fldChar w:fldCharType="separate"/>
    </w:r>
    <w:r w:rsidR="005C0287">
      <w:rPr>
        <w:noProof/>
      </w:rPr>
      <w:t>2</w:t>
    </w:r>
    <w:r w:rsidR="000C6A3A">
      <w:fldChar w:fldCharType="end"/>
    </w:r>
    <w:r w:rsidR="000C6A3A">
      <w:t xml:space="preserve"> von </w:t>
    </w:r>
    <w:r w:rsidR="008B55BE">
      <w:fldChar w:fldCharType="begin"/>
    </w:r>
    <w:r w:rsidR="008B55BE">
      <w:instrText xml:space="preserve"> NUMPAGES </w:instrText>
    </w:r>
    <w:r w:rsidR="008B55BE">
      <w:fldChar w:fldCharType="separate"/>
    </w:r>
    <w:r w:rsidR="005C0287">
      <w:rPr>
        <w:noProof/>
      </w:rPr>
      <w:t>2</w:t>
    </w:r>
    <w:r w:rsidR="008B55B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3A" w:rsidRDefault="008C66AA">
    <w:pPr>
      <w:pStyle w:val="Fuzeile"/>
    </w:pPr>
    <w:r>
      <w:tab/>
    </w:r>
    <w:r>
      <w:tab/>
    </w:r>
    <w:r w:rsidR="000C6A3A">
      <w:t xml:space="preserve">Seite </w:t>
    </w:r>
    <w:r w:rsidR="000C6A3A">
      <w:fldChar w:fldCharType="begin"/>
    </w:r>
    <w:r w:rsidR="000C6A3A">
      <w:instrText xml:space="preserve"> PAGE </w:instrText>
    </w:r>
    <w:r w:rsidR="000C6A3A">
      <w:fldChar w:fldCharType="separate"/>
    </w:r>
    <w:r w:rsidR="005C0287">
      <w:rPr>
        <w:noProof/>
      </w:rPr>
      <w:t>1</w:t>
    </w:r>
    <w:r w:rsidR="000C6A3A">
      <w:fldChar w:fldCharType="end"/>
    </w:r>
    <w:r w:rsidR="000C6A3A">
      <w:t xml:space="preserve"> von </w:t>
    </w:r>
    <w:r w:rsidR="008B55BE">
      <w:fldChar w:fldCharType="begin"/>
    </w:r>
    <w:r w:rsidR="008B55BE">
      <w:instrText xml:space="preserve"> NUMPAGES </w:instrText>
    </w:r>
    <w:r w:rsidR="008B55BE">
      <w:fldChar w:fldCharType="separate"/>
    </w:r>
    <w:r w:rsidR="005C0287">
      <w:rPr>
        <w:noProof/>
      </w:rPr>
      <w:t>2</w:t>
    </w:r>
    <w:r w:rsidR="008B55B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5BE" w:rsidRDefault="008B55BE">
      <w:r>
        <w:separator/>
      </w:r>
    </w:p>
  </w:footnote>
  <w:footnote w:type="continuationSeparator" w:id="0">
    <w:p w:rsidR="008B55BE" w:rsidRDefault="008B5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3A" w:rsidRPr="004C325E" w:rsidRDefault="00F16965" w:rsidP="000C6A3A">
    <w:pPr>
      <w:tabs>
        <w:tab w:val="left" w:pos="5245"/>
      </w:tabs>
      <w:spacing w:line="240" w:lineRule="atLeast"/>
      <w:ind w:right="-199"/>
      <w:rPr>
        <w:rFonts w:ascii="Century Gothic" w:hAnsi="Century Gothic"/>
        <w:color w:val="1F497D"/>
        <w:sz w:val="32"/>
      </w:rPr>
    </w:pPr>
    <w:r>
      <w:rPr>
        <w:rFonts w:ascii="Century Gothic" w:hAnsi="Century Gothic"/>
        <w:noProof/>
        <w:color w:val="1F497D"/>
        <w:sz w:val="32"/>
      </w:rPr>
      <w:drawing>
        <wp:anchor distT="0" distB="0" distL="114300" distR="114300" simplePos="0" relativeHeight="2" behindDoc="0" locked="0" layoutInCell="1" allowOverlap="1" wp14:anchorId="6CCD5FB6" wp14:editId="1DDDC4C0">
          <wp:simplePos x="0" y="0"/>
          <wp:positionH relativeFrom="column">
            <wp:posOffset>4888230</wp:posOffset>
          </wp:positionH>
          <wp:positionV relativeFrom="paragraph">
            <wp:posOffset>38100</wp:posOffset>
          </wp:positionV>
          <wp:extent cx="878205" cy="65214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652145"/>
                  </a:xfrm>
                  <a:prstGeom prst="rect">
                    <a:avLst/>
                  </a:prstGeom>
                  <a:noFill/>
                </pic:spPr>
              </pic:pic>
            </a:graphicData>
          </a:graphic>
          <wp14:sizeRelH relativeFrom="page">
            <wp14:pctWidth>0</wp14:pctWidth>
          </wp14:sizeRelH>
          <wp14:sizeRelV relativeFrom="page">
            <wp14:pctHeight>0</wp14:pctHeight>
          </wp14:sizeRelV>
        </wp:anchor>
      </w:drawing>
    </w:r>
  </w:p>
  <w:p w:rsidR="000C6A3A" w:rsidRDefault="000C6A3A">
    <w:pPr>
      <w:pStyle w:val="Kopfzeile"/>
    </w:pPr>
  </w:p>
  <w:p w:rsidR="000C6A3A" w:rsidRDefault="000C6A3A">
    <w:pPr>
      <w:pStyle w:val="Kopfzeile"/>
    </w:pPr>
  </w:p>
  <w:p w:rsidR="009132E8" w:rsidRDefault="009132E8">
    <w:pPr>
      <w:pStyle w:val="Kopfzeile"/>
    </w:pPr>
  </w:p>
  <w:p w:rsidR="009132E8" w:rsidRDefault="00F16965">
    <w:pPr>
      <w:pStyle w:val="Kopfzeile"/>
    </w:pPr>
    <w:r>
      <w:rPr>
        <w:noProof/>
      </w:rPr>
      <w:drawing>
        <wp:inline distT="0" distB="0" distL="0" distR="0" wp14:anchorId="2685CAD3" wp14:editId="75C2CF53">
          <wp:extent cx="5806440" cy="22860"/>
          <wp:effectExtent l="0" t="0" r="381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6440" cy="22860"/>
                  </a:xfrm>
                  <a:prstGeom prst="rect">
                    <a:avLst/>
                  </a:prstGeom>
                  <a:noFill/>
                  <a:ln>
                    <a:noFill/>
                  </a:ln>
                </pic:spPr>
              </pic:pic>
            </a:graphicData>
          </a:graphic>
        </wp:inline>
      </w:drawing>
    </w:r>
  </w:p>
  <w:p w:rsidR="009132E8" w:rsidRDefault="009132E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247B"/>
    <w:multiLevelType w:val="hybridMultilevel"/>
    <w:tmpl w:val="63A63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58573A"/>
    <w:multiLevelType w:val="hybridMultilevel"/>
    <w:tmpl w:val="4DB80AC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90F3990"/>
    <w:multiLevelType w:val="hybridMultilevel"/>
    <w:tmpl w:val="31760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056D47"/>
    <w:multiLevelType w:val="hybridMultilevel"/>
    <w:tmpl w:val="F626D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E438E5"/>
    <w:multiLevelType w:val="hybridMultilevel"/>
    <w:tmpl w:val="B6103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2840351"/>
    <w:multiLevelType w:val="hybridMultilevel"/>
    <w:tmpl w:val="F4D07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7E153D1"/>
    <w:multiLevelType w:val="hybridMultilevel"/>
    <w:tmpl w:val="6388CE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E891A60"/>
    <w:multiLevelType w:val="hybridMultilevel"/>
    <w:tmpl w:val="F7367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F1251D"/>
    <w:multiLevelType w:val="hybridMultilevel"/>
    <w:tmpl w:val="E3A25CB2"/>
    <w:lvl w:ilvl="0" w:tplc="024EA720">
      <w:start w:val="1"/>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0896A9D"/>
    <w:multiLevelType w:val="hybridMultilevel"/>
    <w:tmpl w:val="38AA34AA"/>
    <w:lvl w:ilvl="0" w:tplc="CF06A1B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2A135AC"/>
    <w:multiLevelType w:val="hybridMultilevel"/>
    <w:tmpl w:val="92868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3D37EB3"/>
    <w:multiLevelType w:val="hybridMultilevel"/>
    <w:tmpl w:val="C01A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6FD6906"/>
    <w:multiLevelType w:val="hybridMultilevel"/>
    <w:tmpl w:val="48AC58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75940A7"/>
    <w:multiLevelType w:val="hybridMultilevel"/>
    <w:tmpl w:val="274A8B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8B96F4E"/>
    <w:multiLevelType w:val="hybridMultilevel"/>
    <w:tmpl w:val="7566423C"/>
    <w:lvl w:ilvl="0" w:tplc="CA188A4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nsid w:val="294F7B1A"/>
    <w:multiLevelType w:val="hybridMultilevel"/>
    <w:tmpl w:val="DC880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9781CFB"/>
    <w:multiLevelType w:val="hybridMultilevel"/>
    <w:tmpl w:val="497689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B0231C2"/>
    <w:multiLevelType w:val="hybridMultilevel"/>
    <w:tmpl w:val="CA9674DE"/>
    <w:lvl w:ilvl="0" w:tplc="C19AC178">
      <w:numFmt w:val="bullet"/>
      <w:lvlText w:val="-"/>
      <w:lvlJc w:val="left"/>
      <w:pPr>
        <w:ind w:left="6" w:hanging="360"/>
      </w:pPr>
      <w:rPr>
        <w:rFonts w:ascii="Calibri" w:eastAsia="Calibri" w:hAnsi="Calibri" w:cs="Calibri" w:hint="default"/>
      </w:rPr>
    </w:lvl>
    <w:lvl w:ilvl="1" w:tplc="04070003">
      <w:start w:val="1"/>
      <w:numFmt w:val="decimal"/>
      <w:lvlText w:val="%2."/>
      <w:lvlJc w:val="left"/>
      <w:pPr>
        <w:tabs>
          <w:tab w:val="num" w:pos="726"/>
        </w:tabs>
        <w:ind w:left="726" w:hanging="360"/>
      </w:pPr>
    </w:lvl>
    <w:lvl w:ilvl="2" w:tplc="04070005">
      <w:start w:val="1"/>
      <w:numFmt w:val="decimal"/>
      <w:lvlText w:val="%3."/>
      <w:lvlJc w:val="left"/>
      <w:pPr>
        <w:tabs>
          <w:tab w:val="num" w:pos="1446"/>
        </w:tabs>
        <w:ind w:left="1446" w:hanging="360"/>
      </w:pPr>
    </w:lvl>
    <w:lvl w:ilvl="3" w:tplc="04070001">
      <w:start w:val="1"/>
      <w:numFmt w:val="decimal"/>
      <w:lvlText w:val="%4."/>
      <w:lvlJc w:val="left"/>
      <w:pPr>
        <w:tabs>
          <w:tab w:val="num" w:pos="2166"/>
        </w:tabs>
        <w:ind w:left="2166" w:hanging="360"/>
      </w:pPr>
    </w:lvl>
    <w:lvl w:ilvl="4" w:tplc="04070003">
      <w:start w:val="1"/>
      <w:numFmt w:val="decimal"/>
      <w:lvlText w:val="%5."/>
      <w:lvlJc w:val="left"/>
      <w:pPr>
        <w:tabs>
          <w:tab w:val="num" w:pos="2886"/>
        </w:tabs>
        <w:ind w:left="2886" w:hanging="360"/>
      </w:pPr>
    </w:lvl>
    <w:lvl w:ilvl="5" w:tplc="04070005">
      <w:start w:val="1"/>
      <w:numFmt w:val="decimal"/>
      <w:lvlText w:val="%6."/>
      <w:lvlJc w:val="left"/>
      <w:pPr>
        <w:tabs>
          <w:tab w:val="num" w:pos="3606"/>
        </w:tabs>
        <w:ind w:left="3606" w:hanging="360"/>
      </w:pPr>
    </w:lvl>
    <w:lvl w:ilvl="6" w:tplc="04070001">
      <w:start w:val="1"/>
      <w:numFmt w:val="decimal"/>
      <w:lvlText w:val="%7."/>
      <w:lvlJc w:val="left"/>
      <w:pPr>
        <w:tabs>
          <w:tab w:val="num" w:pos="4326"/>
        </w:tabs>
        <w:ind w:left="4326" w:hanging="360"/>
      </w:pPr>
    </w:lvl>
    <w:lvl w:ilvl="7" w:tplc="04070003">
      <w:start w:val="1"/>
      <w:numFmt w:val="decimal"/>
      <w:lvlText w:val="%8."/>
      <w:lvlJc w:val="left"/>
      <w:pPr>
        <w:tabs>
          <w:tab w:val="num" w:pos="5046"/>
        </w:tabs>
        <w:ind w:left="5046" w:hanging="360"/>
      </w:pPr>
    </w:lvl>
    <w:lvl w:ilvl="8" w:tplc="04070005">
      <w:start w:val="1"/>
      <w:numFmt w:val="decimal"/>
      <w:lvlText w:val="%9."/>
      <w:lvlJc w:val="left"/>
      <w:pPr>
        <w:tabs>
          <w:tab w:val="num" w:pos="5766"/>
        </w:tabs>
        <w:ind w:left="5766" w:hanging="360"/>
      </w:pPr>
    </w:lvl>
  </w:abstractNum>
  <w:abstractNum w:abstractNumId="18">
    <w:nsid w:val="2D1B178A"/>
    <w:multiLevelType w:val="hybridMultilevel"/>
    <w:tmpl w:val="4C70F24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nsid w:val="2E5951A8"/>
    <w:multiLevelType w:val="hybridMultilevel"/>
    <w:tmpl w:val="B9E406EE"/>
    <w:lvl w:ilvl="0" w:tplc="CA188A4E">
      <w:start w:val="1"/>
      <w:numFmt w:val="decimal"/>
      <w:lvlText w:val="%1."/>
      <w:lvlJc w:val="left"/>
      <w:pPr>
        <w:ind w:left="1776"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0">
    <w:nsid w:val="34224CAA"/>
    <w:multiLevelType w:val="hybridMultilevel"/>
    <w:tmpl w:val="BFBC052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1">
    <w:nsid w:val="342951CB"/>
    <w:multiLevelType w:val="hybridMultilevel"/>
    <w:tmpl w:val="24A8B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C3C141C"/>
    <w:multiLevelType w:val="hybridMultilevel"/>
    <w:tmpl w:val="33E41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E2A200C"/>
    <w:multiLevelType w:val="hybridMultilevel"/>
    <w:tmpl w:val="27961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18014F4"/>
    <w:multiLevelType w:val="hybridMultilevel"/>
    <w:tmpl w:val="32C4D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3332F8A"/>
    <w:multiLevelType w:val="multilevel"/>
    <w:tmpl w:val="DABAA604"/>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896FBD"/>
    <w:multiLevelType w:val="hybridMultilevel"/>
    <w:tmpl w:val="71A8A6E8"/>
    <w:lvl w:ilvl="0" w:tplc="9D2AF1A8">
      <w:start w:val="1"/>
      <w:numFmt w:val="lowerLetter"/>
      <w:lvlText w:val="%1)"/>
      <w:lvlJc w:val="left"/>
      <w:pPr>
        <w:ind w:left="1068" w:hanging="708"/>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8DF53E5"/>
    <w:multiLevelType w:val="hybridMultilevel"/>
    <w:tmpl w:val="301AE5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B705C57"/>
    <w:multiLevelType w:val="hybridMultilevel"/>
    <w:tmpl w:val="325C4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D974FDC"/>
    <w:multiLevelType w:val="hybridMultilevel"/>
    <w:tmpl w:val="D8AE05E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4DDF1AAB"/>
    <w:multiLevelType w:val="hybridMultilevel"/>
    <w:tmpl w:val="A6AC9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F8F7098"/>
    <w:multiLevelType w:val="hybridMultilevel"/>
    <w:tmpl w:val="83E68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FD3177A"/>
    <w:multiLevelType w:val="hybridMultilevel"/>
    <w:tmpl w:val="A52C3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2281949"/>
    <w:multiLevelType w:val="hybridMultilevel"/>
    <w:tmpl w:val="9A729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4423833"/>
    <w:multiLevelType w:val="hybridMultilevel"/>
    <w:tmpl w:val="541C1EC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5">
    <w:nsid w:val="57EC40C4"/>
    <w:multiLevelType w:val="hybridMultilevel"/>
    <w:tmpl w:val="A4B43BC0"/>
    <w:lvl w:ilvl="0" w:tplc="04070001">
      <w:start w:val="1"/>
      <w:numFmt w:val="bullet"/>
      <w:lvlText w:val=""/>
      <w:lvlJc w:val="left"/>
      <w:pPr>
        <w:ind w:left="1776" w:hanging="360"/>
      </w:pPr>
      <w:rPr>
        <w:rFonts w:ascii="Symbol" w:hAnsi="Symbol"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6">
    <w:nsid w:val="5B5F246D"/>
    <w:multiLevelType w:val="hybridMultilevel"/>
    <w:tmpl w:val="29062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E2B6C90"/>
    <w:multiLevelType w:val="hybridMultilevel"/>
    <w:tmpl w:val="45A656B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8">
    <w:nsid w:val="606E286D"/>
    <w:multiLevelType w:val="hybridMultilevel"/>
    <w:tmpl w:val="0F708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0FC7CC8"/>
    <w:multiLevelType w:val="hybridMultilevel"/>
    <w:tmpl w:val="600C1DB8"/>
    <w:lvl w:ilvl="0" w:tplc="024EA720">
      <w:start w:val="1"/>
      <w:numFmt w:val="decimal"/>
      <w:lvlText w:val="%1."/>
      <w:lvlJc w:val="left"/>
      <w:pPr>
        <w:ind w:left="360" w:hanging="360"/>
      </w:pPr>
      <w:rPr>
        <w:rFonts w:hint="default"/>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nsid w:val="69D847C4"/>
    <w:multiLevelType w:val="hybridMultilevel"/>
    <w:tmpl w:val="B7222F0E"/>
    <w:lvl w:ilvl="0" w:tplc="04070001">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41">
    <w:nsid w:val="6C820475"/>
    <w:multiLevelType w:val="hybridMultilevel"/>
    <w:tmpl w:val="4E78AFB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2">
    <w:nsid w:val="6E311FE8"/>
    <w:multiLevelType w:val="hybridMultilevel"/>
    <w:tmpl w:val="77FA4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6E7D0E41"/>
    <w:multiLevelType w:val="hybridMultilevel"/>
    <w:tmpl w:val="2050065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6FE3231D"/>
    <w:multiLevelType w:val="hybridMultilevel"/>
    <w:tmpl w:val="6BC84254"/>
    <w:lvl w:ilvl="0" w:tplc="024EA720">
      <w:start w:val="1"/>
      <w:numFmt w:val="decimal"/>
      <w:lvlText w:val="%1."/>
      <w:lvlJc w:val="left"/>
      <w:pPr>
        <w:ind w:left="720" w:hanging="360"/>
      </w:pPr>
      <w:rPr>
        <w:rFonts w:hint="default"/>
        <w: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0912FB0"/>
    <w:multiLevelType w:val="hybridMultilevel"/>
    <w:tmpl w:val="5790B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1690B2E"/>
    <w:multiLevelType w:val="hybridMultilevel"/>
    <w:tmpl w:val="600E70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78883B86"/>
    <w:multiLevelType w:val="hybridMultilevel"/>
    <w:tmpl w:val="79BEE3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78B03CA4"/>
    <w:multiLevelType w:val="hybridMultilevel"/>
    <w:tmpl w:val="A39AD38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9">
    <w:nsid w:val="7CDC6845"/>
    <w:multiLevelType w:val="hybridMultilevel"/>
    <w:tmpl w:val="D7F8D5A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num w:numId="1">
    <w:abstractNumId w:val="48"/>
  </w:num>
  <w:num w:numId="2">
    <w:abstractNumId w:val="45"/>
  </w:num>
  <w:num w:numId="3">
    <w:abstractNumId w:val="3"/>
  </w:num>
  <w:num w:numId="4">
    <w:abstractNumId w:val="5"/>
  </w:num>
  <w:num w:numId="5">
    <w:abstractNumId w:val="27"/>
  </w:num>
  <w:num w:numId="6">
    <w:abstractNumId w:val="43"/>
  </w:num>
  <w:num w:numId="7">
    <w:abstractNumId w:val="23"/>
  </w:num>
  <w:num w:numId="8">
    <w:abstractNumId w:val="15"/>
  </w:num>
  <w:num w:numId="9">
    <w:abstractNumId w:val="0"/>
  </w:num>
  <w:num w:numId="10">
    <w:abstractNumId w:val="47"/>
  </w:num>
  <w:num w:numId="11">
    <w:abstractNumId w:val="12"/>
  </w:num>
  <w:num w:numId="12">
    <w:abstractNumId w:val="30"/>
  </w:num>
  <w:num w:numId="13">
    <w:abstractNumId w:val="11"/>
  </w:num>
  <w:num w:numId="14">
    <w:abstractNumId w:val="38"/>
  </w:num>
  <w:num w:numId="15">
    <w:abstractNumId w:val="13"/>
  </w:num>
  <w:num w:numId="16">
    <w:abstractNumId w:val="10"/>
  </w:num>
  <w:num w:numId="17">
    <w:abstractNumId w:val="2"/>
  </w:num>
  <w:num w:numId="18">
    <w:abstractNumId w:val="46"/>
  </w:num>
  <w:num w:numId="19">
    <w:abstractNumId w:val="1"/>
  </w:num>
  <w:num w:numId="20">
    <w:abstractNumId w:val="25"/>
  </w:num>
  <w:num w:numId="21">
    <w:abstractNumId w:val="26"/>
  </w:num>
  <w:num w:numId="22">
    <w:abstractNumId w:val="34"/>
  </w:num>
  <w:num w:numId="23">
    <w:abstractNumId w:val="41"/>
  </w:num>
  <w:num w:numId="24">
    <w:abstractNumId w:val="37"/>
  </w:num>
  <w:num w:numId="25">
    <w:abstractNumId w:val="14"/>
  </w:num>
  <w:num w:numId="26">
    <w:abstractNumId w:val="19"/>
  </w:num>
  <w:num w:numId="27">
    <w:abstractNumId w:val="35"/>
  </w:num>
  <w:num w:numId="28">
    <w:abstractNumId w:val="18"/>
  </w:num>
  <w:num w:numId="29">
    <w:abstractNumId w:val="20"/>
  </w:num>
  <w:num w:numId="30">
    <w:abstractNumId w:val="49"/>
  </w:num>
  <w:num w:numId="31">
    <w:abstractNumId w:val="40"/>
  </w:num>
  <w:num w:numId="32">
    <w:abstractNumId w:val="39"/>
  </w:num>
  <w:num w:numId="33">
    <w:abstractNumId w:val="32"/>
  </w:num>
  <w:num w:numId="34">
    <w:abstractNumId w:val="44"/>
  </w:num>
  <w:num w:numId="35">
    <w:abstractNumId w:val="29"/>
  </w:num>
  <w:num w:numId="36">
    <w:abstractNumId w:val="16"/>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4"/>
  </w:num>
  <w:num w:numId="40">
    <w:abstractNumId w:val="33"/>
  </w:num>
  <w:num w:numId="41">
    <w:abstractNumId w:val="22"/>
  </w:num>
  <w:num w:numId="42">
    <w:abstractNumId w:val="4"/>
  </w:num>
  <w:num w:numId="43">
    <w:abstractNumId w:val="31"/>
  </w:num>
  <w:num w:numId="44">
    <w:abstractNumId w:val="36"/>
  </w:num>
  <w:num w:numId="45">
    <w:abstractNumId w:val="7"/>
  </w:num>
  <w:num w:numId="46">
    <w:abstractNumId w:val="28"/>
  </w:num>
  <w:num w:numId="47">
    <w:abstractNumId w:val="8"/>
  </w:num>
  <w:num w:numId="48">
    <w:abstractNumId w:val="21"/>
  </w:num>
  <w:num w:numId="49">
    <w:abstractNumId w:val="42"/>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2EC"/>
    <w:rsid w:val="00002278"/>
    <w:rsid w:val="0000484B"/>
    <w:rsid w:val="000244E9"/>
    <w:rsid w:val="00026423"/>
    <w:rsid w:val="00031ED8"/>
    <w:rsid w:val="00033EDB"/>
    <w:rsid w:val="00043D9F"/>
    <w:rsid w:val="00061D6A"/>
    <w:rsid w:val="000626B3"/>
    <w:rsid w:val="00067200"/>
    <w:rsid w:val="0009383C"/>
    <w:rsid w:val="00096FD4"/>
    <w:rsid w:val="000A1438"/>
    <w:rsid w:val="000A4E4C"/>
    <w:rsid w:val="000C22AA"/>
    <w:rsid w:val="000C4B1A"/>
    <w:rsid w:val="000C6A3A"/>
    <w:rsid w:val="000D4C37"/>
    <w:rsid w:val="000E786A"/>
    <w:rsid w:val="00110015"/>
    <w:rsid w:val="00110930"/>
    <w:rsid w:val="00113538"/>
    <w:rsid w:val="00114DA2"/>
    <w:rsid w:val="001224B9"/>
    <w:rsid w:val="0012325C"/>
    <w:rsid w:val="00142829"/>
    <w:rsid w:val="00166DEC"/>
    <w:rsid w:val="00170C2F"/>
    <w:rsid w:val="00192AE9"/>
    <w:rsid w:val="00196A27"/>
    <w:rsid w:val="001E6D2C"/>
    <w:rsid w:val="001F1A82"/>
    <w:rsid w:val="001F4FCD"/>
    <w:rsid w:val="00226BC9"/>
    <w:rsid w:val="00241924"/>
    <w:rsid w:val="00241C2A"/>
    <w:rsid w:val="00245E14"/>
    <w:rsid w:val="002B007A"/>
    <w:rsid w:val="002B5270"/>
    <w:rsid w:val="002C1B02"/>
    <w:rsid w:val="003163D3"/>
    <w:rsid w:val="0032785E"/>
    <w:rsid w:val="003434EA"/>
    <w:rsid w:val="00357196"/>
    <w:rsid w:val="00371C60"/>
    <w:rsid w:val="00397EFC"/>
    <w:rsid w:val="003A5AB1"/>
    <w:rsid w:val="003A7026"/>
    <w:rsid w:val="003C1312"/>
    <w:rsid w:val="003C17EC"/>
    <w:rsid w:val="00442C7C"/>
    <w:rsid w:val="0048779B"/>
    <w:rsid w:val="004B30E1"/>
    <w:rsid w:val="004C325E"/>
    <w:rsid w:val="004D4E90"/>
    <w:rsid w:val="004E23B1"/>
    <w:rsid w:val="004F7B18"/>
    <w:rsid w:val="00500906"/>
    <w:rsid w:val="005300A1"/>
    <w:rsid w:val="00537AB7"/>
    <w:rsid w:val="0054353B"/>
    <w:rsid w:val="00572AF1"/>
    <w:rsid w:val="005802A5"/>
    <w:rsid w:val="005902D5"/>
    <w:rsid w:val="005C0287"/>
    <w:rsid w:val="005C063C"/>
    <w:rsid w:val="005C36E2"/>
    <w:rsid w:val="005D7583"/>
    <w:rsid w:val="005E2EB2"/>
    <w:rsid w:val="005E3F01"/>
    <w:rsid w:val="005F59C0"/>
    <w:rsid w:val="006071C5"/>
    <w:rsid w:val="0064251D"/>
    <w:rsid w:val="00646C81"/>
    <w:rsid w:val="00654926"/>
    <w:rsid w:val="0066146C"/>
    <w:rsid w:val="006A5E28"/>
    <w:rsid w:val="006D06C9"/>
    <w:rsid w:val="006F04F4"/>
    <w:rsid w:val="006F2254"/>
    <w:rsid w:val="00707564"/>
    <w:rsid w:val="0071234F"/>
    <w:rsid w:val="00722BD7"/>
    <w:rsid w:val="007738B7"/>
    <w:rsid w:val="00773935"/>
    <w:rsid w:val="0079544C"/>
    <w:rsid w:val="007A59E5"/>
    <w:rsid w:val="007C096E"/>
    <w:rsid w:val="00800ED2"/>
    <w:rsid w:val="008122FF"/>
    <w:rsid w:val="008202D7"/>
    <w:rsid w:val="00855C11"/>
    <w:rsid w:val="00860AD4"/>
    <w:rsid w:val="00867628"/>
    <w:rsid w:val="008962BC"/>
    <w:rsid w:val="008970C8"/>
    <w:rsid w:val="008B2781"/>
    <w:rsid w:val="008B55BE"/>
    <w:rsid w:val="008C2BC3"/>
    <w:rsid w:val="008C66AA"/>
    <w:rsid w:val="008D05E6"/>
    <w:rsid w:val="008D2D0D"/>
    <w:rsid w:val="008E4DBD"/>
    <w:rsid w:val="008F3818"/>
    <w:rsid w:val="00911609"/>
    <w:rsid w:val="009132E8"/>
    <w:rsid w:val="00924D97"/>
    <w:rsid w:val="00936BED"/>
    <w:rsid w:val="009512F6"/>
    <w:rsid w:val="0095193F"/>
    <w:rsid w:val="00961980"/>
    <w:rsid w:val="0099444C"/>
    <w:rsid w:val="009A42E4"/>
    <w:rsid w:val="009C14F7"/>
    <w:rsid w:val="009D333B"/>
    <w:rsid w:val="00A003A2"/>
    <w:rsid w:val="00A016BE"/>
    <w:rsid w:val="00A029D0"/>
    <w:rsid w:val="00A1343B"/>
    <w:rsid w:val="00A260DD"/>
    <w:rsid w:val="00A352EC"/>
    <w:rsid w:val="00A51BC7"/>
    <w:rsid w:val="00A61FE4"/>
    <w:rsid w:val="00A73EAB"/>
    <w:rsid w:val="00A765A7"/>
    <w:rsid w:val="00A817AF"/>
    <w:rsid w:val="00AC1142"/>
    <w:rsid w:val="00AC5044"/>
    <w:rsid w:val="00AE2782"/>
    <w:rsid w:val="00B11AB9"/>
    <w:rsid w:val="00B1251A"/>
    <w:rsid w:val="00B23EB8"/>
    <w:rsid w:val="00B25EBE"/>
    <w:rsid w:val="00B351D1"/>
    <w:rsid w:val="00B37FB5"/>
    <w:rsid w:val="00BA2CFE"/>
    <w:rsid w:val="00BB37C3"/>
    <w:rsid w:val="00BE3976"/>
    <w:rsid w:val="00BE70E6"/>
    <w:rsid w:val="00BF4822"/>
    <w:rsid w:val="00C177DE"/>
    <w:rsid w:val="00C356D2"/>
    <w:rsid w:val="00C56C9F"/>
    <w:rsid w:val="00C66FD4"/>
    <w:rsid w:val="00C810AA"/>
    <w:rsid w:val="00C96A7A"/>
    <w:rsid w:val="00C97090"/>
    <w:rsid w:val="00C97BCF"/>
    <w:rsid w:val="00CC05D0"/>
    <w:rsid w:val="00CD18BC"/>
    <w:rsid w:val="00D00E78"/>
    <w:rsid w:val="00D0523B"/>
    <w:rsid w:val="00D36D1F"/>
    <w:rsid w:val="00D5370B"/>
    <w:rsid w:val="00D80A34"/>
    <w:rsid w:val="00D81D4E"/>
    <w:rsid w:val="00D81D91"/>
    <w:rsid w:val="00D97913"/>
    <w:rsid w:val="00DA2CC7"/>
    <w:rsid w:val="00DB7BA7"/>
    <w:rsid w:val="00E0191D"/>
    <w:rsid w:val="00E07A8B"/>
    <w:rsid w:val="00E32A4E"/>
    <w:rsid w:val="00E67B37"/>
    <w:rsid w:val="00E71DB3"/>
    <w:rsid w:val="00E723A1"/>
    <w:rsid w:val="00E9777B"/>
    <w:rsid w:val="00EA0179"/>
    <w:rsid w:val="00EB2A49"/>
    <w:rsid w:val="00EB6823"/>
    <w:rsid w:val="00ED2D92"/>
    <w:rsid w:val="00ED3187"/>
    <w:rsid w:val="00ED74C8"/>
    <w:rsid w:val="00EE45A2"/>
    <w:rsid w:val="00EE4E37"/>
    <w:rsid w:val="00EF6AD1"/>
    <w:rsid w:val="00F110A7"/>
    <w:rsid w:val="00F16965"/>
    <w:rsid w:val="00F33035"/>
    <w:rsid w:val="00F36C5F"/>
    <w:rsid w:val="00F657F0"/>
    <w:rsid w:val="00F83619"/>
    <w:rsid w:val="00F83B49"/>
    <w:rsid w:val="00F97457"/>
    <w:rsid w:val="00FF11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A3A"/>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uiPriority w:val="99"/>
    <w:unhideWhenUsed/>
    <w:rsid w:val="000C6A3A"/>
    <w:rPr>
      <w:color w:val="0000FF"/>
      <w:u w:val="single"/>
    </w:rPr>
  </w:style>
  <w:style w:type="paragraph" w:styleId="Sprechblasentext">
    <w:name w:val="Balloon Text"/>
    <w:basedOn w:val="Standard"/>
    <w:link w:val="SprechblasentextZchn"/>
    <w:uiPriority w:val="99"/>
    <w:semiHidden/>
    <w:unhideWhenUsed/>
    <w:rsid w:val="004C325E"/>
    <w:rPr>
      <w:rFonts w:ascii="Tahoma" w:hAnsi="Tahoma" w:cs="Tahoma"/>
      <w:sz w:val="16"/>
      <w:szCs w:val="16"/>
    </w:rPr>
  </w:style>
  <w:style w:type="character" w:customStyle="1" w:styleId="SprechblasentextZchn">
    <w:name w:val="Sprechblasentext Zchn"/>
    <w:link w:val="Sprechblasentext"/>
    <w:uiPriority w:val="99"/>
    <w:semiHidden/>
    <w:rsid w:val="004C325E"/>
    <w:rPr>
      <w:rFonts w:ascii="Tahoma" w:hAnsi="Tahoma" w:cs="Tahoma"/>
      <w:sz w:val="16"/>
      <w:szCs w:val="16"/>
    </w:rPr>
  </w:style>
  <w:style w:type="paragraph" w:styleId="Listenabsatz">
    <w:name w:val="List Paragraph"/>
    <w:basedOn w:val="Standard"/>
    <w:uiPriority w:val="34"/>
    <w:qFormat/>
    <w:rsid w:val="00646C81"/>
    <w:pPr>
      <w:ind w:left="708"/>
    </w:pPr>
  </w:style>
  <w:style w:type="table" w:styleId="Tabellenraster">
    <w:name w:val="Table Grid"/>
    <w:basedOn w:val="NormaleTabelle"/>
    <w:uiPriority w:val="59"/>
    <w:rsid w:val="0019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A3A"/>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uiPriority w:val="99"/>
    <w:unhideWhenUsed/>
    <w:rsid w:val="000C6A3A"/>
    <w:rPr>
      <w:color w:val="0000FF"/>
      <w:u w:val="single"/>
    </w:rPr>
  </w:style>
  <w:style w:type="paragraph" w:styleId="Sprechblasentext">
    <w:name w:val="Balloon Text"/>
    <w:basedOn w:val="Standard"/>
    <w:link w:val="SprechblasentextZchn"/>
    <w:uiPriority w:val="99"/>
    <w:semiHidden/>
    <w:unhideWhenUsed/>
    <w:rsid w:val="004C325E"/>
    <w:rPr>
      <w:rFonts w:ascii="Tahoma" w:hAnsi="Tahoma" w:cs="Tahoma"/>
      <w:sz w:val="16"/>
      <w:szCs w:val="16"/>
    </w:rPr>
  </w:style>
  <w:style w:type="character" w:customStyle="1" w:styleId="SprechblasentextZchn">
    <w:name w:val="Sprechblasentext Zchn"/>
    <w:link w:val="Sprechblasentext"/>
    <w:uiPriority w:val="99"/>
    <w:semiHidden/>
    <w:rsid w:val="004C325E"/>
    <w:rPr>
      <w:rFonts w:ascii="Tahoma" w:hAnsi="Tahoma" w:cs="Tahoma"/>
      <w:sz w:val="16"/>
      <w:szCs w:val="16"/>
    </w:rPr>
  </w:style>
  <w:style w:type="paragraph" w:styleId="Listenabsatz">
    <w:name w:val="List Paragraph"/>
    <w:basedOn w:val="Standard"/>
    <w:uiPriority w:val="34"/>
    <w:qFormat/>
    <w:rsid w:val="00646C81"/>
    <w:pPr>
      <w:ind w:left="708"/>
    </w:pPr>
  </w:style>
  <w:style w:type="table" w:styleId="Tabellenraster">
    <w:name w:val="Table Grid"/>
    <w:basedOn w:val="NormaleTabelle"/>
    <w:uiPriority w:val="59"/>
    <w:rsid w:val="0019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15762">
      <w:bodyDiv w:val="1"/>
      <w:marLeft w:val="0"/>
      <w:marRight w:val="0"/>
      <w:marTop w:val="0"/>
      <w:marBottom w:val="0"/>
      <w:divBdr>
        <w:top w:val="none" w:sz="0" w:space="0" w:color="auto"/>
        <w:left w:val="none" w:sz="0" w:space="0" w:color="auto"/>
        <w:bottom w:val="none" w:sz="0" w:space="0" w:color="auto"/>
        <w:right w:val="none" w:sz="0" w:space="0" w:color="auto"/>
      </w:divBdr>
    </w:div>
    <w:div w:id="1491485457">
      <w:bodyDiv w:val="1"/>
      <w:marLeft w:val="0"/>
      <w:marRight w:val="0"/>
      <w:marTop w:val="0"/>
      <w:marBottom w:val="0"/>
      <w:divBdr>
        <w:top w:val="none" w:sz="0" w:space="0" w:color="auto"/>
        <w:left w:val="none" w:sz="0" w:space="0" w:color="auto"/>
        <w:bottom w:val="none" w:sz="0" w:space="0" w:color="auto"/>
        <w:right w:val="none" w:sz="0" w:space="0" w:color="auto"/>
      </w:divBdr>
    </w:div>
    <w:div w:id="1883783741">
      <w:bodyDiv w:val="1"/>
      <w:marLeft w:val="0"/>
      <w:marRight w:val="0"/>
      <w:marTop w:val="0"/>
      <w:marBottom w:val="0"/>
      <w:divBdr>
        <w:top w:val="none" w:sz="0" w:space="0" w:color="auto"/>
        <w:left w:val="none" w:sz="0" w:space="0" w:color="auto"/>
        <w:bottom w:val="none" w:sz="0" w:space="0" w:color="auto"/>
        <w:right w:val="none" w:sz="0" w:space="0" w:color="auto"/>
      </w:divBdr>
    </w:div>
    <w:div w:id="1967351372">
      <w:bodyDiv w:val="1"/>
      <w:marLeft w:val="0"/>
      <w:marRight w:val="0"/>
      <w:marTop w:val="0"/>
      <w:marBottom w:val="0"/>
      <w:divBdr>
        <w:top w:val="none" w:sz="0" w:space="0" w:color="auto"/>
        <w:left w:val="none" w:sz="0" w:space="0" w:color="auto"/>
        <w:bottom w:val="none" w:sz="0" w:space="0" w:color="auto"/>
        <w:right w:val="none" w:sz="0" w:space="0" w:color="auto"/>
      </w:divBdr>
    </w:div>
    <w:div w:id="20587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olfang%20Naujokat\Anwendungsdaten\Microsoft\Vorlagen\Privat\prvk-w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316D3-1F04-43DA-A877-71906A74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prvk-wn.dot</Template>
  <TotalTime>0</TotalTime>
  <Pages>2</Pages>
  <Words>641</Words>
  <Characters>4041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Siemens Konzern</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Naujokat</dc:creator>
  <cp:lastModifiedBy>Naujokat</cp:lastModifiedBy>
  <cp:revision>3</cp:revision>
  <cp:lastPrinted>2015-03-09T12:33:00Z</cp:lastPrinted>
  <dcterms:created xsi:type="dcterms:W3CDTF">2015-03-30T17:14:00Z</dcterms:created>
  <dcterms:modified xsi:type="dcterms:W3CDTF">2015-03-30T17:23:00Z</dcterms:modified>
</cp:coreProperties>
</file>